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88C" w:rsidRPr="00BB388C" w:rsidRDefault="00BB388C" w:rsidP="00BB388C">
      <w:pPr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B38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15 семинар сабағы. </w:t>
      </w:r>
    </w:p>
    <w:p w:rsidR="00BB388C" w:rsidRPr="00BB388C" w:rsidRDefault="00BB388C" w:rsidP="00BB388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388C">
        <w:rPr>
          <w:rFonts w:ascii="Times New Roman" w:hAnsi="Times New Roman" w:cs="Times New Roman"/>
          <w:sz w:val="24"/>
          <w:szCs w:val="24"/>
          <w:lang w:val="kk-KZ"/>
        </w:rPr>
        <w:t>Қазіргі қазақ әдебиетіндегі драматизм ерекшелігі</w:t>
      </w:r>
    </w:p>
    <w:p w:rsidR="00BB388C" w:rsidRPr="00BB388C" w:rsidRDefault="00BB388C" w:rsidP="00BB388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Д.Амантай шығармашылығындағы драматизм</w:t>
      </w:r>
    </w:p>
    <w:p w:rsidR="00BB388C" w:rsidRPr="00BB388C" w:rsidRDefault="00BB388C" w:rsidP="00BB388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Р.Мұқанова шығармашылығындағы драматизм</w:t>
      </w:r>
    </w:p>
    <w:p w:rsidR="00BB388C" w:rsidRPr="00BB388C" w:rsidRDefault="00BB388C" w:rsidP="00BB388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А.Алтай шығармашылығындағы драматизм</w:t>
      </w:r>
    </w:p>
    <w:p w:rsidR="00BB388C" w:rsidRPr="00BB388C" w:rsidRDefault="00BB388C" w:rsidP="00BB388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Д.Рамазан шығармашылығындағы драматизм</w:t>
      </w:r>
    </w:p>
    <w:p w:rsidR="00BA0712" w:rsidRPr="00BB388C" w:rsidRDefault="00BA0712" w:rsidP="00BA071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B388C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BA0712" w:rsidRDefault="00BA0712" w:rsidP="00BA07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Ахметов А.З. Совремменное развитие и традиции казахской литературы. – Алматы, 1984.</w:t>
      </w:r>
    </w:p>
    <w:p w:rsidR="00BA0712" w:rsidRDefault="00BA0712" w:rsidP="00BA07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Фесенко Э.Я. Теория литературы. – Архангельск, 2001. – 234 с.</w:t>
      </w:r>
    </w:p>
    <w:p w:rsidR="00BA0712" w:rsidRDefault="00BA0712" w:rsidP="00BA07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Хализев В.Е. Теория литературы. – Москва, 2002. – 324 с. </w:t>
      </w:r>
    </w:p>
    <w:p w:rsidR="00BA0712" w:rsidRDefault="00BA0712" w:rsidP="00BA07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Есембеков Т.У. Функции драматизма в художественном тексте. – Алматы, 2013.</w:t>
      </w:r>
    </w:p>
    <w:p w:rsidR="00BA0712" w:rsidRDefault="00BA0712" w:rsidP="00BA07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Есаулов И. Эстетический анализ литературного произведения. – Кемерово, 1991. </w:t>
      </w:r>
    </w:p>
    <w:p w:rsidR="00BA0712" w:rsidRDefault="00BA0712" w:rsidP="00BA07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Есмагамбетов Ы. Әдебиет теориясының мәселелері. – Алматы, 2011. 182 б . </w:t>
      </w:r>
    </w:p>
    <w:p w:rsidR="00BA0712" w:rsidRDefault="00BA0712" w:rsidP="00BA07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Кәкішев Т. Кер заманның кереғар ойлары. – Алматы: Санат, 1997. – 352 б.</w:t>
      </w:r>
    </w:p>
    <w:p w:rsidR="00BA0712" w:rsidRDefault="00BA0712" w:rsidP="00BA07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Майтанов Б.Қ. Әуезов және ұлттық әдеби үрдістер. – Алматы, 1999. – 544 б. </w:t>
      </w:r>
    </w:p>
    <w:p w:rsidR="00BA0712" w:rsidRDefault="00BA0712" w:rsidP="00BA07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Нұрғали Р. Әуезв және Алаш. Әдебиеттегі ұлттық рух. – Алматы, 1997. – 432 б.</w:t>
      </w:r>
    </w:p>
    <w:p w:rsidR="00BA0712" w:rsidRDefault="00BA0712" w:rsidP="00BA07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Сахновенский –Панкеев В. Драма. Конфликт. Композиция. - ., 1969. – 232 с. </w:t>
      </w:r>
    </w:p>
    <w:p w:rsidR="00BA0712" w:rsidRDefault="00BA0712" w:rsidP="00BA071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Default="008563D0"/>
    <w:sectPr w:rsidR="008563D0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07B5C"/>
    <w:multiLevelType w:val="hybridMultilevel"/>
    <w:tmpl w:val="F36C01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712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C1B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4C8D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5E47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0712"/>
    <w:rsid w:val="00BA1DA7"/>
    <w:rsid w:val="00BA4C8A"/>
    <w:rsid w:val="00BB388C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158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38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4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2015-09-29T08:11:00Z</dcterms:created>
  <dcterms:modified xsi:type="dcterms:W3CDTF">2015-09-29T09:00:00Z</dcterms:modified>
</cp:coreProperties>
</file>